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28" w:type="pct"/>
        <w:tblCellSpacing w:w="15" w:type="dxa"/>
        <w:tblInd w:w="-30" w:type="dxa"/>
        <w:tblCellMar>
          <w:top w:w="15" w:type="dxa"/>
          <w:left w:w="15" w:type="dxa"/>
          <w:bottom w:w="15" w:type="dxa"/>
          <w:right w:w="15" w:type="dxa"/>
        </w:tblCellMar>
        <w:tblLook w:val="04A0"/>
      </w:tblPr>
      <w:tblGrid>
        <w:gridCol w:w="50"/>
        <w:gridCol w:w="156"/>
        <w:gridCol w:w="10695"/>
        <w:gridCol w:w="50"/>
      </w:tblGrid>
      <w:tr w:rsidR="00FC756B" w:rsidRPr="00FC756B" w:rsidTr="00FC756B">
        <w:trPr>
          <w:gridBefore w:val="1"/>
          <w:gridAfter w:val="1"/>
          <w:tblCellSpacing w:w="15" w:type="dxa"/>
        </w:trPr>
        <w:tc>
          <w:tcPr>
            <w:tcW w:w="4959" w:type="pct"/>
            <w:gridSpan w:val="2"/>
            <w:vAlign w:val="center"/>
            <w:hideMark/>
          </w:tcPr>
          <w:p w:rsidR="00FC756B" w:rsidRPr="00FC756B" w:rsidRDefault="00FC756B" w:rsidP="00FC756B">
            <w:pPr>
              <w:spacing w:before="100" w:beforeAutospacing="1" w:after="100" w:afterAutospacing="1" w:line="240" w:lineRule="auto"/>
              <w:jc w:val="center"/>
              <w:rPr>
                <w:rFonts w:ascii="Trebuchet MS" w:eastAsia="Times New Roman" w:hAnsi="Trebuchet MS" w:cs="Times New Roman"/>
                <w:color w:val="000000"/>
                <w:sz w:val="24"/>
                <w:szCs w:val="24"/>
              </w:rPr>
            </w:pPr>
            <w:r w:rsidRPr="00FC756B">
              <w:rPr>
                <w:rFonts w:ascii="Georgia" w:eastAsia="Times New Roman" w:hAnsi="Georgia" w:cs="Times New Roman"/>
                <w:b/>
                <w:bCs/>
                <w:color w:val="000000"/>
                <w:sz w:val="20"/>
                <w:szCs w:val="20"/>
              </w:rPr>
              <w:t>L517: Advanced Study of the Teaching of Secondary School Reading</w:t>
            </w:r>
          </w:p>
          <w:p w:rsidR="00FC756B" w:rsidRPr="00FC756B" w:rsidRDefault="00FC756B" w:rsidP="00FC756B">
            <w:pPr>
              <w:spacing w:after="0" w:line="240" w:lineRule="auto"/>
              <w:jc w:val="center"/>
              <w:rPr>
                <w:rFonts w:ascii="Trebuchet MS" w:eastAsia="Times New Roman" w:hAnsi="Trebuchet MS" w:cs="Times New Roman"/>
                <w:color w:val="000000"/>
                <w:sz w:val="24"/>
                <w:szCs w:val="24"/>
              </w:rPr>
            </w:pPr>
            <w:r w:rsidRPr="00FC756B">
              <w:rPr>
                <w:rFonts w:ascii="Georgia" w:eastAsia="Times New Roman" w:hAnsi="Georgia" w:cs="Times New Roman"/>
                <w:b/>
                <w:bCs/>
                <w:color w:val="000000"/>
                <w:sz w:val="20"/>
                <w:szCs w:val="20"/>
              </w:rPr>
              <w:t>INSTRUCTIONAL READING STRATEGY: ANTICIPATION GUIDES</w:t>
            </w:r>
          </w:p>
        </w:tc>
      </w:tr>
      <w:tr w:rsidR="00FC756B" w:rsidRPr="00FC756B" w:rsidTr="00FC756B">
        <w:tblPrEx>
          <w:tblCellSpacing w:w="0" w:type="nil"/>
          <w:tblBorders>
            <w:top w:val="outset" w:sz="2" w:space="0" w:color="auto"/>
            <w:left w:val="outset" w:sz="2" w:space="0" w:color="auto"/>
            <w:bottom w:val="outset" w:sz="2" w:space="0" w:color="auto"/>
            <w:right w:val="outset" w:sz="2" w:space="0" w:color="auto"/>
          </w:tblBorders>
          <w:tblCellMar>
            <w:top w:w="75" w:type="dxa"/>
            <w:left w:w="75" w:type="dxa"/>
            <w:bottom w:w="75" w:type="dxa"/>
            <w:right w:w="75" w:type="dxa"/>
          </w:tblCellMar>
        </w:tblPrEx>
        <w:tc>
          <w:tcPr>
            <w:tcW w:w="58" w:type="pct"/>
            <w:gridSpan w:val="2"/>
            <w:tcBorders>
              <w:top w:val="nil"/>
              <w:left w:val="nil"/>
              <w:bottom w:val="nil"/>
              <w:right w:val="outset" w:sz="24" w:space="0" w:color="auto"/>
            </w:tcBorders>
            <w:hideMark/>
          </w:tcPr>
          <w:p w:rsidR="00FC756B" w:rsidRPr="00FC756B" w:rsidRDefault="00FC756B" w:rsidP="00FC756B">
            <w:pPr>
              <w:spacing w:after="0" w:line="480" w:lineRule="auto"/>
              <w:rPr>
                <w:rFonts w:ascii="Times New Roman" w:eastAsia="Times New Roman" w:hAnsi="Times New Roman" w:cs="Times New Roman"/>
                <w:color w:val="000000"/>
                <w:sz w:val="24"/>
                <w:szCs w:val="24"/>
              </w:rPr>
            </w:pPr>
          </w:p>
        </w:tc>
        <w:tc>
          <w:tcPr>
            <w:tcW w:w="4901" w:type="pct"/>
            <w:gridSpan w:val="2"/>
            <w:tcBorders>
              <w:top w:val="nil"/>
              <w:left w:val="nil"/>
              <w:bottom w:val="nil"/>
              <w:right w:val="nil"/>
            </w:tcBorders>
            <w:hideMark/>
          </w:tcPr>
          <w:p w:rsidR="00FC756B" w:rsidRPr="00FC756B" w:rsidRDefault="00FC756B" w:rsidP="00FC756B">
            <w:pPr>
              <w:spacing w:before="100" w:beforeAutospacing="1" w:after="100" w:afterAutospacing="1" w:line="240" w:lineRule="auto"/>
              <w:jc w:val="center"/>
              <w:rPr>
                <w:rFonts w:ascii="Trebuchet MS" w:eastAsia="Times New Roman" w:hAnsi="Trebuchet MS" w:cs="Times New Roman"/>
                <w:color w:val="000000"/>
                <w:sz w:val="24"/>
                <w:szCs w:val="24"/>
              </w:rPr>
            </w:pPr>
            <w:r>
              <w:rPr>
                <w:rFonts w:ascii="Trebuchet MS" w:eastAsia="Times New Roman" w:hAnsi="Trebuchet MS" w:cs="Times New Roman"/>
                <w:noProof/>
                <w:color w:val="000000"/>
                <w:sz w:val="24"/>
                <w:szCs w:val="24"/>
              </w:rPr>
              <w:drawing>
                <wp:inline distT="0" distB="0" distL="0" distR="0">
                  <wp:extent cx="5716905" cy="95250"/>
                  <wp:effectExtent l="19050" t="0" r="0" b="0"/>
                  <wp:docPr id="6" name="Picture 6" descr="http://www.indiana.edu/~l517/blesep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indiana.edu/~l517/blesepa.gif"/>
                          <pic:cNvPicPr>
                            <a:picLocks noChangeAspect="1" noChangeArrowheads="1"/>
                          </pic:cNvPicPr>
                        </pic:nvPicPr>
                        <pic:blipFill>
                          <a:blip r:embed="rId6"/>
                          <a:srcRect/>
                          <a:stretch>
                            <a:fillRect/>
                          </a:stretch>
                        </pic:blipFill>
                        <pic:spPr bwMode="auto">
                          <a:xfrm>
                            <a:off x="0" y="0"/>
                            <a:ext cx="5716905" cy="95250"/>
                          </a:xfrm>
                          <a:prstGeom prst="rect">
                            <a:avLst/>
                          </a:prstGeom>
                          <a:noFill/>
                          <a:ln w="9525">
                            <a:noFill/>
                            <a:miter lim="800000"/>
                            <a:headEnd/>
                            <a:tailEnd/>
                          </a:ln>
                        </pic:spPr>
                      </pic:pic>
                    </a:graphicData>
                  </a:graphic>
                </wp:inline>
              </w:drawing>
            </w:r>
          </w:p>
          <w:p w:rsidR="00FC756B" w:rsidRPr="00FC756B" w:rsidRDefault="00FC756B" w:rsidP="00FC756B">
            <w:pPr>
              <w:spacing w:after="0" w:line="240" w:lineRule="auto"/>
              <w:outlineLvl w:val="5"/>
              <w:rPr>
                <w:rFonts w:ascii="Times New Roman" w:eastAsia="Times New Roman" w:hAnsi="Times New Roman" w:cs="Times New Roman"/>
                <w:b/>
                <w:bCs/>
                <w:color w:val="000000"/>
                <w:sz w:val="15"/>
                <w:szCs w:val="15"/>
              </w:rPr>
            </w:pPr>
            <w:bookmarkStart w:id="0" w:name="Description_of_Anticipation_Guides"/>
            <w:r w:rsidRPr="00FC756B">
              <w:rPr>
                <w:rFonts w:ascii="Georgia" w:eastAsia="Times New Roman" w:hAnsi="Georgia" w:cs="Times New Roman"/>
                <w:b/>
                <w:bCs/>
                <w:color w:val="003399"/>
                <w:sz w:val="20"/>
                <w:szCs w:val="20"/>
              </w:rPr>
              <w:t>Description of Anticipation Guides</w:t>
            </w:r>
            <w:bookmarkEnd w:id="0"/>
          </w:p>
          <w:p w:rsidR="00FC756B" w:rsidRPr="00FC756B" w:rsidRDefault="00FC756B" w:rsidP="00FC756B">
            <w:pPr>
              <w:spacing w:before="100" w:beforeAutospacing="1" w:after="100" w:afterAutospacing="1" w:line="240" w:lineRule="auto"/>
              <w:rPr>
                <w:rFonts w:ascii="Georgia" w:eastAsia="Times New Roman" w:hAnsi="Georgia" w:cs="Times New Roman"/>
                <w:color w:val="000000"/>
                <w:sz w:val="20"/>
                <w:szCs w:val="20"/>
              </w:rPr>
            </w:pPr>
            <w:r w:rsidRPr="00FC756B">
              <w:rPr>
                <w:rFonts w:ascii="Georgia" w:eastAsia="Times New Roman" w:hAnsi="Georgia" w:cs="Times New Roman"/>
                <w:color w:val="000000"/>
                <w:sz w:val="20"/>
                <w:szCs w:val="20"/>
              </w:rPr>
              <w:t>An anticipation guide consists of a list of statements that are related to the topic of the text your students will be reading. While some of the statements may be clearly true or false, a good anticipation guide includes statements that provoke disagreement and challenge students’ beliefs about the topic. Before reading the text, students indicate for each statement whether they agree or disagree with it.</w:t>
            </w:r>
          </w:p>
          <w:p w:rsidR="00FC756B" w:rsidRPr="00FC756B" w:rsidRDefault="00FC756B" w:rsidP="00FC756B">
            <w:pPr>
              <w:spacing w:before="100" w:beforeAutospacing="1" w:after="100" w:afterAutospacing="1" w:line="240" w:lineRule="auto"/>
              <w:jc w:val="center"/>
              <w:rPr>
                <w:rFonts w:ascii="Trebuchet MS" w:eastAsia="Times New Roman" w:hAnsi="Trebuchet MS" w:cs="Times New Roman"/>
                <w:color w:val="000080"/>
                <w:sz w:val="24"/>
                <w:szCs w:val="24"/>
              </w:rPr>
            </w:pPr>
            <w:r>
              <w:rPr>
                <w:rFonts w:ascii="Trebuchet MS" w:eastAsia="Times New Roman" w:hAnsi="Trebuchet MS" w:cs="Times New Roman"/>
                <w:noProof/>
                <w:color w:val="000080"/>
                <w:sz w:val="24"/>
                <w:szCs w:val="24"/>
              </w:rPr>
              <w:drawing>
                <wp:inline distT="0" distB="0" distL="0" distR="0">
                  <wp:extent cx="5716905" cy="95250"/>
                  <wp:effectExtent l="19050" t="0" r="0" b="0"/>
                  <wp:docPr id="7" name="Picture 7" descr="http://www.indiana.edu/~l517/blesep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ndiana.edu/~l517/blesepa.gif"/>
                          <pic:cNvPicPr>
                            <a:picLocks noChangeAspect="1" noChangeArrowheads="1"/>
                          </pic:cNvPicPr>
                        </pic:nvPicPr>
                        <pic:blipFill>
                          <a:blip r:embed="rId6"/>
                          <a:srcRect/>
                          <a:stretch>
                            <a:fillRect/>
                          </a:stretch>
                        </pic:blipFill>
                        <pic:spPr bwMode="auto">
                          <a:xfrm>
                            <a:off x="0" y="0"/>
                            <a:ext cx="5716905" cy="95250"/>
                          </a:xfrm>
                          <a:prstGeom prst="rect">
                            <a:avLst/>
                          </a:prstGeom>
                          <a:noFill/>
                          <a:ln w="9525">
                            <a:noFill/>
                            <a:miter lim="800000"/>
                            <a:headEnd/>
                            <a:tailEnd/>
                          </a:ln>
                        </pic:spPr>
                      </pic:pic>
                    </a:graphicData>
                  </a:graphic>
                </wp:inline>
              </w:drawing>
            </w:r>
          </w:p>
          <w:p w:rsidR="00FC756B" w:rsidRPr="00FC756B" w:rsidRDefault="00FC756B" w:rsidP="00FC756B">
            <w:pPr>
              <w:spacing w:after="0" w:line="240" w:lineRule="auto"/>
              <w:outlineLvl w:val="5"/>
              <w:rPr>
                <w:rFonts w:ascii="Times New Roman" w:eastAsia="Times New Roman" w:hAnsi="Times New Roman" w:cs="Times New Roman"/>
                <w:b/>
                <w:bCs/>
                <w:color w:val="000000"/>
                <w:sz w:val="15"/>
                <w:szCs w:val="15"/>
              </w:rPr>
            </w:pPr>
            <w:bookmarkStart w:id="1" w:name="Purpose_for_Using_Anticipation_Guides"/>
            <w:r w:rsidRPr="00FC756B">
              <w:rPr>
                <w:rFonts w:ascii="Georgia" w:eastAsia="Times New Roman" w:hAnsi="Georgia" w:cs="Times New Roman"/>
                <w:b/>
                <w:bCs/>
                <w:color w:val="003399"/>
                <w:sz w:val="20"/>
                <w:szCs w:val="20"/>
              </w:rPr>
              <w:t>Purpose for Using Anticipation Guides</w:t>
            </w:r>
            <w:bookmarkEnd w:id="1"/>
          </w:p>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Anticipation guides serve two primary purposes:</w:t>
            </w:r>
          </w:p>
          <w:tbl>
            <w:tblPr>
              <w:tblW w:w="5000" w:type="pct"/>
              <w:tblCellSpacing w:w="0" w:type="dxa"/>
              <w:tblCellMar>
                <w:left w:w="0" w:type="dxa"/>
                <w:right w:w="0" w:type="dxa"/>
              </w:tblCellMar>
              <w:tblLook w:val="04A0"/>
            </w:tblPr>
            <w:tblGrid>
              <w:gridCol w:w="270"/>
              <w:gridCol w:w="10325"/>
            </w:tblGrid>
            <w:tr w:rsidR="00FC756B" w:rsidRPr="00FC756B">
              <w:trPr>
                <w:tblCellSpacing w:w="0" w:type="dxa"/>
              </w:trPr>
              <w:tc>
                <w:tcPr>
                  <w:tcW w:w="630" w:type="dxa"/>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42875" cy="142875"/>
                        <wp:effectExtent l="19050" t="0" r="9525" b="0"/>
                        <wp:docPr id="8" name="Picture 8"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500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Elicit students’ prior knowledge of the topic of the text.</w:t>
                  </w:r>
                </w:p>
              </w:tc>
            </w:tr>
            <w:tr w:rsidR="00FC756B" w:rsidRPr="00FC756B">
              <w:trPr>
                <w:tblCellSpacing w:w="0" w:type="dxa"/>
              </w:trPr>
              <w:tc>
                <w:tcPr>
                  <w:tcW w:w="630" w:type="dxa"/>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42875" cy="142875"/>
                        <wp:effectExtent l="19050" t="0" r="9525" b="0"/>
                        <wp:docPr id="9" name="Picture 9"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500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Set a purpose for reading. (Students read to gather evidence that will either confirm their initial beliefs or cause them to rethink those beliefs.)</w:t>
                  </w:r>
                </w:p>
              </w:tc>
            </w:tr>
          </w:tbl>
          <w:p w:rsidR="00FC756B" w:rsidRPr="00FC756B" w:rsidRDefault="00FC756B" w:rsidP="00FC756B">
            <w:pPr>
              <w:spacing w:before="100" w:beforeAutospacing="1" w:after="100" w:afterAutospacing="1" w:line="240" w:lineRule="auto"/>
              <w:jc w:val="center"/>
              <w:rPr>
                <w:rFonts w:ascii="Trebuchet MS" w:eastAsia="Times New Roman" w:hAnsi="Trebuchet MS" w:cs="Times New Roman"/>
                <w:b/>
                <w:bCs/>
                <w:color w:val="000080"/>
                <w:sz w:val="24"/>
                <w:szCs w:val="24"/>
              </w:rPr>
            </w:pPr>
            <w:bookmarkStart w:id="2" w:name="prof" w:colFirst="1" w:colLast="1"/>
            <w:r>
              <w:rPr>
                <w:rFonts w:ascii="Trebuchet MS" w:eastAsia="Times New Roman" w:hAnsi="Trebuchet MS" w:cs="Times New Roman"/>
                <w:b/>
                <w:bCs/>
                <w:noProof/>
                <w:color w:val="000080"/>
                <w:sz w:val="24"/>
                <w:szCs w:val="24"/>
              </w:rPr>
              <w:drawing>
                <wp:inline distT="0" distB="0" distL="0" distR="0">
                  <wp:extent cx="5716905" cy="95250"/>
                  <wp:effectExtent l="19050" t="0" r="0" b="0"/>
                  <wp:docPr id="10" name="Picture 10" descr="http://www.indiana.edu/~l517/blesep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indiana.edu/~l517/blesepa.gif"/>
                          <pic:cNvPicPr>
                            <a:picLocks noChangeAspect="1" noChangeArrowheads="1"/>
                          </pic:cNvPicPr>
                        </pic:nvPicPr>
                        <pic:blipFill>
                          <a:blip r:embed="rId6"/>
                          <a:srcRect/>
                          <a:stretch>
                            <a:fillRect/>
                          </a:stretch>
                        </pic:blipFill>
                        <pic:spPr bwMode="auto">
                          <a:xfrm>
                            <a:off x="0" y="0"/>
                            <a:ext cx="5716905" cy="95250"/>
                          </a:xfrm>
                          <a:prstGeom prst="rect">
                            <a:avLst/>
                          </a:prstGeom>
                          <a:noFill/>
                          <a:ln w="9525">
                            <a:noFill/>
                            <a:miter lim="800000"/>
                            <a:headEnd/>
                            <a:tailEnd/>
                          </a:ln>
                        </pic:spPr>
                      </pic:pic>
                    </a:graphicData>
                  </a:graphic>
                </wp:inline>
              </w:drawing>
            </w:r>
          </w:p>
          <w:p w:rsidR="00FC756B" w:rsidRPr="00FC756B" w:rsidRDefault="00FC756B" w:rsidP="00FC756B">
            <w:pPr>
              <w:spacing w:after="0" w:line="240" w:lineRule="auto"/>
              <w:outlineLvl w:val="5"/>
              <w:rPr>
                <w:rFonts w:ascii="Times New Roman" w:eastAsia="Times New Roman" w:hAnsi="Times New Roman" w:cs="Times New Roman"/>
                <w:b/>
                <w:bCs/>
                <w:color w:val="000000"/>
                <w:sz w:val="15"/>
                <w:szCs w:val="15"/>
              </w:rPr>
            </w:pPr>
            <w:bookmarkStart w:id="3" w:name="How_to_Use_Anticipation_Guides"/>
            <w:r w:rsidRPr="00FC756B">
              <w:rPr>
                <w:rFonts w:ascii="Georgia" w:eastAsia="Times New Roman" w:hAnsi="Georgia" w:cs="Times New Roman"/>
                <w:b/>
                <w:bCs/>
                <w:color w:val="003399"/>
                <w:sz w:val="20"/>
                <w:szCs w:val="20"/>
              </w:rPr>
              <w:t>How to Use Anticipation Guides</w:t>
            </w:r>
            <w:bookmarkEnd w:id="3"/>
          </w:p>
          <w:p w:rsidR="00FC756B" w:rsidRPr="00FC756B" w:rsidRDefault="00FC756B" w:rsidP="00FC756B">
            <w:pPr>
              <w:spacing w:after="0" w:line="240" w:lineRule="auto"/>
              <w:rPr>
                <w:rFonts w:ascii="Trebuchet MS" w:eastAsia="Times New Roman" w:hAnsi="Trebuchet MS" w:cs="Times New Roman"/>
                <w:color w:val="000000"/>
                <w:sz w:val="24"/>
                <w:szCs w:val="24"/>
              </w:rPr>
            </w:pPr>
            <w:r w:rsidRPr="00FC756B">
              <w:rPr>
                <w:rFonts w:ascii="Trebuchet MS" w:eastAsia="Times New Roman" w:hAnsi="Trebuchet MS" w:cs="Times New Roman"/>
                <w:color w:val="000000"/>
                <w:sz w:val="24"/>
                <w:szCs w:val="24"/>
              </w:rPr>
              <w:t> </w:t>
            </w:r>
          </w:p>
          <w:tbl>
            <w:tblPr>
              <w:tblW w:w="5000" w:type="pct"/>
              <w:tblCellSpacing w:w="15" w:type="dxa"/>
              <w:tblCellMar>
                <w:top w:w="15" w:type="dxa"/>
                <w:left w:w="15" w:type="dxa"/>
                <w:bottom w:w="15" w:type="dxa"/>
                <w:right w:w="15" w:type="dxa"/>
              </w:tblCellMar>
              <w:tblLook w:val="04A0"/>
            </w:tblPr>
            <w:tblGrid>
              <w:gridCol w:w="570"/>
              <w:gridCol w:w="10025"/>
            </w:tblGrid>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1. </w:t>
                  </w: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b/>
                      <w:bCs/>
                      <w:color w:val="000000"/>
                      <w:sz w:val="20"/>
                      <w:szCs w:val="20"/>
                    </w:rPr>
                    <w:t>Choose a text.</w:t>
                  </w:r>
                  <w:r w:rsidRPr="00FC756B">
                    <w:rPr>
                      <w:rFonts w:ascii="Georgia" w:eastAsia="Times New Roman" w:hAnsi="Georgia" w:cs="Times New Roman"/>
                      <w:color w:val="000000"/>
                      <w:sz w:val="20"/>
                      <w:szCs w:val="20"/>
                    </w:rPr>
                    <w:t xml:space="preserve"> (This strategy works well with most expository texts. It works particularly well with texts that present ideas that are somewhat controversial to the readers.)</w:t>
                  </w: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2. </w:t>
                  </w: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b/>
                      <w:bCs/>
                      <w:color w:val="000000"/>
                      <w:sz w:val="20"/>
                      <w:szCs w:val="20"/>
                    </w:rPr>
                    <w:t>Write several statements that focus on the topic of the text.</w:t>
                  </w:r>
                  <w:r w:rsidRPr="00FC756B">
                    <w:rPr>
                      <w:rFonts w:ascii="Georgia" w:eastAsia="Times New Roman" w:hAnsi="Georgia" w:cs="Times New Roman"/>
                      <w:color w:val="000000"/>
                      <w:sz w:val="20"/>
                      <w:szCs w:val="20"/>
                    </w:rPr>
                    <w:t xml:space="preserve"> Next to each statement, provide a place for students to indicate whether they agree or disagree with the statements.</w:t>
                  </w: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Tips for writing statements:</w:t>
                  </w:r>
                </w:p>
                <w:tbl>
                  <w:tblPr>
                    <w:tblW w:w="5000" w:type="pct"/>
                    <w:tblCellSpacing w:w="0" w:type="dxa"/>
                    <w:tblCellMar>
                      <w:left w:w="0" w:type="dxa"/>
                      <w:right w:w="0" w:type="dxa"/>
                    </w:tblCellMar>
                    <w:tblLook w:val="04A0"/>
                  </w:tblPr>
                  <w:tblGrid>
                    <w:gridCol w:w="271"/>
                    <w:gridCol w:w="9679"/>
                  </w:tblGrid>
                  <w:tr w:rsidR="00FC756B" w:rsidRPr="00FC756B">
                    <w:trPr>
                      <w:tblCellSpacing w:w="0" w:type="dxa"/>
                    </w:trPr>
                    <w:tc>
                      <w:tcPr>
                        <w:tcW w:w="630" w:type="dxa"/>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42875" cy="142875"/>
                              <wp:effectExtent l="19050" t="0" r="9525" b="0"/>
                              <wp:docPr id="11" name="Picture 11"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5000" w:type="pct"/>
                        <w:hideMark/>
                      </w:tcPr>
                      <w:p w:rsidR="00FC756B" w:rsidRPr="00FC756B" w:rsidRDefault="00FC756B" w:rsidP="00FC756B">
                        <w:pPr>
                          <w:tabs>
                            <w:tab w:val="num" w:pos="2160"/>
                          </w:tabs>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Write statements that focus on the information in the text that you want your students to think about.</w:t>
                        </w:r>
                      </w:p>
                    </w:tc>
                  </w:tr>
                  <w:tr w:rsidR="00FC756B" w:rsidRPr="00FC756B">
                    <w:trPr>
                      <w:tblCellSpacing w:w="0" w:type="dxa"/>
                    </w:trPr>
                    <w:tc>
                      <w:tcPr>
                        <w:tcW w:w="630" w:type="dxa"/>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42875" cy="142875"/>
                              <wp:effectExtent l="19050" t="0" r="9525" b="0"/>
                              <wp:docPr id="12" name="Picture 12"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5000" w:type="pct"/>
                        <w:hideMark/>
                      </w:tcPr>
                      <w:p w:rsidR="00FC756B" w:rsidRPr="00FC756B" w:rsidRDefault="00FC756B" w:rsidP="00FC756B">
                        <w:pPr>
                          <w:tabs>
                            <w:tab w:val="num" w:pos="2160"/>
                          </w:tabs>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Write statements that students can react to without having read the text.</w:t>
                        </w:r>
                      </w:p>
                    </w:tc>
                  </w:tr>
                  <w:tr w:rsidR="00FC756B" w:rsidRPr="00FC756B">
                    <w:trPr>
                      <w:tblCellSpacing w:w="0" w:type="dxa"/>
                    </w:trPr>
                    <w:tc>
                      <w:tcPr>
                        <w:tcW w:w="630" w:type="dxa"/>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42875" cy="142875"/>
                              <wp:effectExtent l="19050" t="0" r="9525" b="0"/>
                              <wp:docPr id="13" name="Picture 13"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5000" w:type="pct"/>
                        <w:hideMark/>
                      </w:tcPr>
                      <w:p w:rsidR="00FC756B" w:rsidRPr="00FC756B" w:rsidRDefault="00FC756B" w:rsidP="00FC756B">
                        <w:pPr>
                          <w:tabs>
                            <w:tab w:val="num" w:pos="2160"/>
                          </w:tabs>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Write statements for which information can be identified in the text that supports and/or opposes each statement.</w:t>
                        </w:r>
                      </w:p>
                    </w:tc>
                  </w:tr>
                  <w:tr w:rsidR="00FC756B" w:rsidRPr="00FC756B">
                    <w:trPr>
                      <w:tblCellSpacing w:w="0" w:type="dxa"/>
                    </w:trPr>
                    <w:tc>
                      <w:tcPr>
                        <w:tcW w:w="630" w:type="dxa"/>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42875" cy="142875"/>
                              <wp:effectExtent l="19050" t="0" r="9525" b="0"/>
                              <wp:docPr id="14" name="Picture 14"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5000" w:type="pct"/>
                        <w:hideMark/>
                      </w:tcPr>
                      <w:p w:rsidR="00FC756B" w:rsidRPr="00FC756B" w:rsidRDefault="00FC756B" w:rsidP="00FC756B">
                        <w:pPr>
                          <w:tabs>
                            <w:tab w:val="num" w:pos="2160"/>
                          </w:tabs>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Write statements that challenge students’ beliefs (Duffelmeyer, 1994).</w:t>
                        </w:r>
                      </w:p>
                    </w:tc>
                  </w:tr>
                  <w:tr w:rsidR="00FC756B" w:rsidRPr="00FC756B">
                    <w:trPr>
                      <w:tblCellSpacing w:w="0" w:type="dxa"/>
                    </w:trPr>
                    <w:tc>
                      <w:tcPr>
                        <w:tcW w:w="630" w:type="dxa"/>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42875" cy="142875"/>
                              <wp:effectExtent l="19050" t="0" r="9525" b="0"/>
                              <wp:docPr id="15" name="Picture 15"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5000" w:type="pct"/>
                        <w:hideMark/>
                      </w:tcPr>
                      <w:p w:rsidR="00FC756B" w:rsidRPr="00FC756B" w:rsidRDefault="00FC756B" w:rsidP="00FC756B">
                        <w:pPr>
                          <w:tabs>
                            <w:tab w:val="num" w:pos="2160"/>
                          </w:tabs>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Write statements that are general rather than specific (Duffelmeyer, 1994). </w:t>
                        </w:r>
                      </w:p>
                    </w:tc>
                  </w:tr>
                </w:tbl>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Duffelmeyer, F. (1994). Effective Anticipation Guide statements for learning from expository prose. </w:t>
                  </w:r>
                  <w:r w:rsidRPr="00FC756B">
                    <w:rPr>
                      <w:rFonts w:ascii="Georgia" w:eastAsia="Times New Roman" w:hAnsi="Georgia" w:cs="Times New Roman"/>
                      <w:i/>
                      <w:iCs/>
                      <w:color w:val="000000"/>
                      <w:sz w:val="20"/>
                      <w:szCs w:val="20"/>
                    </w:rPr>
                    <w:t>Journal of Reading, 37,</w:t>
                  </w:r>
                  <w:r w:rsidRPr="00FC756B">
                    <w:rPr>
                      <w:rFonts w:ascii="Georgia" w:eastAsia="Times New Roman" w:hAnsi="Georgia" w:cs="Times New Roman"/>
                      <w:color w:val="000000"/>
                      <w:sz w:val="20"/>
                      <w:szCs w:val="20"/>
                    </w:rPr>
                    <w:t xml:space="preserve"> 452-455</w:t>
                  </w: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3. </w:t>
                  </w: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w:t>
                  </w:r>
                  <w:r w:rsidRPr="00FC756B">
                    <w:rPr>
                      <w:rFonts w:ascii="Georgia" w:eastAsia="Times New Roman" w:hAnsi="Georgia" w:cs="Times New Roman"/>
                      <w:b/>
                      <w:bCs/>
                      <w:color w:val="000000"/>
                      <w:sz w:val="20"/>
                      <w:szCs w:val="20"/>
                    </w:rPr>
                    <w:t>Have students complete the anticipation guide before reading.</w:t>
                  </w:r>
                  <w:r w:rsidRPr="00FC756B">
                    <w:rPr>
                      <w:rFonts w:ascii="Georgia" w:eastAsia="Times New Roman" w:hAnsi="Georgia" w:cs="Times New Roman"/>
                      <w:color w:val="000000"/>
                      <w:sz w:val="20"/>
                      <w:szCs w:val="20"/>
                    </w:rPr>
                    <w:t xml:space="preserve"> The guide can be completed by students individually, or in small groups. Remind students that they should be prepared to discuss their reactions to the statements on the anticipation guide after they have completed it.</w:t>
                  </w: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4. </w:t>
                  </w: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b/>
                      <w:bCs/>
                      <w:color w:val="000000"/>
                      <w:sz w:val="20"/>
                      <w:szCs w:val="20"/>
                    </w:rPr>
                    <w:t xml:space="preserve">Have a class discussion before reading. </w:t>
                  </w:r>
                  <w:r w:rsidRPr="00FC756B">
                    <w:rPr>
                      <w:rFonts w:ascii="Georgia" w:eastAsia="Times New Roman" w:hAnsi="Georgia" w:cs="Times New Roman"/>
                      <w:color w:val="000000"/>
                      <w:sz w:val="20"/>
                      <w:szCs w:val="20"/>
                    </w:rPr>
                    <w:t>Encourage students who have differing viewpoints to debate and defend their positions.</w:t>
                  </w: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5. </w:t>
                  </w: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b/>
                      <w:bCs/>
                      <w:color w:val="000000"/>
                      <w:sz w:val="20"/>
                      <w:szCs w:val="20"/>
                    </w:rPr>
                    <w:t>Have students read the text.</w:t>
                  </w:r>
                  <w:r w:rsidRPr="00FC756B">
                    <w:rPr>
                      <w:rFonts w:ascii="Georgia" w:eastAsia="Times New Roman" w:hAnsi="Georgia" w:cs="Times New Roman"/>
                      <w:color w:val="000000"/>
                      <w:sz w:val="20"/>
                      <w:szCs w:val="20"/>
                    </w:rPr>
                    <w:t xml:space="preserve"> Encourage students to write down ideas from the text that either support their initial reaction to each statement, or cause them to rethink those reactions.</w:t>
                  </w: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p>
              </w:tc>
            </w:tr>
            <w:tr w:rsidR="00FC756B" w:rsidRPr="00FC756B">
              <w:trPr>
                <w:tblCellSpacing w:w="15" w:type="dxa"/>
              </w:trPr>
              <w:tc>
                <w:tcPr>
                  <w:tcW w:w="250" w:type="pct"/>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6. </w:t>
                  </w:r>
                </w:p>
              </w:tc>
              <w:tc>
                <w:tcPr>
                  <w:tcW w:w="4750" w:type="pct"/>
                  <w:vAlign w:val="center"/>
                  <w:hideMark/>
                </w:tcPr>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b/>
                      <w:bCs/>
                      <w:color w:val="000000"/>
                      <w:sz w:val="20"/>
                      <w:szCs w:val="20"/>
                    </w:rPr>
                    <w:t>Have a class discussion after reading.</w:t>
                  </w:r>
                  <w:r w:rsidRPr="00FC756B">
                    <w:rPr>
                      <w:rFonts w:ascii="Georgia" w:eastAsia="Times New Roman" w:hAnsi="Georgia" w:cs="Times New Roman"/>
                      <w:color w:val="000000"/>
                      <w:sz w:val="20"/>
                      <w:szCs w:val="20"/>
                    </w:rPr>
                    <w:t xml:space="preserve"> Ask students if any of them changed their minds about their positions on each statement. Ask them to explain why. Encourage them to use information from the text to support their positions.</w:t>
                  </w:r>
                </w:p>
              </w:tc>
            </w:tr>
          </w:tbl>
          <w:p w:rsidR="00FC756B" w:rsidRDefault="00FC756B" w:rsidP="00FC756B">
            <w:pPr>
              <w:spacing w:before="100" w:beforeAutospacing="1" w:after="100" w:afterAutospacing="1" w:line="240" w:lineRule="auto"/>
              <w:jc w:val="center"/>
              <w:rPr>
                <w:rFonts w:ascii="Trebuchet MS" w:eastAsia="Times New Roman" w:hAnsi="Trebuchet MS" w:cs="Times New Roman"/>
                <w:b/>
                <w:bCs/>
                <w:color w:val="000080"/>
                <w:sz w:val="24"/>
                <w:szCs w:val="24"/>
              </w:rPr>
            </w:pPr>
          </w:p>
          <w:p w:rsidR="00FC756B" w:rsidRDefault="00FC756B" w:rsidP="00FC756B">
            <w:pPr>
              <w:spacing w:before="100" w:beforeAutospacing="1" w:after="100" w:afterAutospacing="1" w:line="240" w:lineRule="auto"/>
              <w:jc w:val="center"/>
              <w:rPr>
                <w:rFonts w:ascii="Trebuchet MS" w:eastAsia="Times New Roman" w:hAnsi="Trebuchet MS" w:cs="Times New Roman"/>
                <w:b/>
                <w:bCs/>
                <w:color w:val="000080"/>
                <w:sz w:val="24"/>
                <w:szCs w:val="24"/>
              </w:rPr>
            </w:pPr>
          </w:p>
          <w:p w:rsidR="00FC756B" w:rsidRPr="00FC756B" w:rsidRDefault="00FC756B" w:rsidP="00FC756B">
            <w:pPr>
              <w:spacing w:before="100" w:beforeAutospacing="1" w:after="100" w:afterAutospacing="1" w:line="240" w:lineRule="auto"/>
              <w:jc w:val="center"/>
              <w:rPr>
                <w:rFonts w:ascii="Trebuchet MS" w:eastAsia="Times New Roman" w:hAnsi="Trebuchet MS" w:cs="Times New Roman"/>
                <w:b/>
                <w:bCs/>
                <w:color w:val="000080"/>
                <w:sz w:val="24"/>
                <w:szCs w:val="24"/>
              </w:rPr>
            </w:pPr>
            <w:r>
              <w:rPr>
                <w:rFonts w:ascii="Trebuchet MS" w:eastAsia="Times New Roman" w:hAnsi="Trebuchet MS" w:cs="Times New Roman"/>
                <w:b/>
                <w:bCs/>
                <w:noProof/>
                <w:color w:val="000080"/>
                <w:sz w:val="24"/>
                <w:szCs w:val="24"/>
              </w:rPr>
              <w:drawing>
                <wp:inline distT="0" distB="0" distL="0" distR="0">
                  <wp:extent cx="5716905" cy="95250"/>
                  <wp:effectExtent l="19050" t="0" r="0" b="0"/>
                  <wp:docPr id="16" name="Picture 16" descr="http://www.indiana.edu/~l517/blesep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indiana.edu/~l517/blesepa.gif"/>
                          <pic:cNvPicPr>
                            <a:picLocks noChangeAspect="1" noChangeArrowheads="1"/>
                          </pic:cNvPicPr>
                        </pic:nvPicPr>
                        <pic:blipFill>
                          <a:blip r:embed="rId6"/>
                          <a:srcRect/>
                          <a:stretch>
                            <a:fillRect/>
                          </a:stretch>
                        </pic:blipFill>
                        <pic:spPr bwMode="auto">
                          <a:xfrm>
                            <a:off x="0" y="0"/>
                            <a:ext cx="5716905" cy="95250"/>
                          </a:xfrm>
                          <a:prstGeom prst="rect">
                            <a:avLst/>
                          </a:prstGeom>
                          <a:noFill/>
                          <a:ln w="9525">
                            <a:noFill/>
                            <a:miter lim="800000"/>
                            <a:headEnd/>
                            <a:tailEnd/>
                          </a:ln>
                        </pic:spPr>
                      </pic:pic>
                    </a:graphicData>
                  </a:graphic>
                </wp:inline>
              </w:drawing>
            </w:r>
          </w:p>
          <w:p w:rsidR="00FC756B" w:rsidRPr="00FC756B" w:rsidRDefault="00FC756B" w:rsidP="00FC756B">
            <w:pPr>
              <w:spacing w:after="0" w:line="240" w:lineRule="auto"/>
              <w:outlineLvl w:val="5"/>
              <w:rPr>
                <w:rFonts w:ascii="Times New Roman" w:eastAsia="Times New Roman" w:hAnsi="Times New Roman" w:cs="Times New Roman"/>
                <w:b/>
                <w:bCs/>
                <w:color w:val="000000"/>
                <w:sz w:val="15"/>
                <w:szCs w:val="15"/>
              </w:rPr>
            </w:pPr>
            <w:bookmarkStart w:id="4" w:name="Anticipation_Guides:_An_Example"/>
            <w:r w:rsidRPr="00FC756B">
              <w:rPr>
                <w:rFonts w:ascii="Georgia" w:eastAsia="Times New Roman" w:hAnsi="Georgia" w:cs="Times New Roman"/>
                <w:b/>
                <w:bCs/>
                <w:color w:val="003399"/>
                <w:sz w:val="20"/>
                <w:szCs w:val="20"/>
              </w:rPr>
              <w:t>Anticipation Guides: An Example</w:t>
            </w:r>
            <w:bookmarkEnd w:id="4"/>
          </w:p>
          <w:p w:rsidR="00FC756B" w:rsidRPr="00FC756B" w:rsidRDefault="00FC756B" w:rsidP="00FC756B">
            <w:pPr>
              <w:spacing w:before="100" w:beforeAutospacing="1" w:after="100" w:afterAutospacing="1" w:line="240" w:lineRule="auto"/>
              <w:rPr>
                <w:rFonts w:ascii="Trebuchet MS" w:eastAsia="Times New Roman" w:hAnsi="Trebuchet MS" w:cs="Times New Roman"/>
                <w:color w:val="000000"/>
                <w:sz w:val="24"/>
                <w:szCs w:val="24"/>
              </w:rPr>
            </w:pPr>
            <w:r w:rsidRPr="00FC756B">
              <w:rPr>
                <w:rFonts w:ascii="Georgia" w:eastAsia="Times New Roman" w:hAnsi="Georgia" w:cs="Times New Roman"/>
                <w:color w:val="000000"/>
                <w:sz w:val="20"/>
                <w:szCs w:val="20"/>
              </w:rPr>
              <w:t>Following is an example of an anticipation guide that might be used with a text that presents information about computers in the workplace.</w:t>
            </w:r>
          </w:p>
          <w:p w:rsidR="00FC756B" w:rsidRPr="00FC756B" w:rsidRDefault="00FC756B" w:rsidP="00FC756B">
            <w:pPr>
              <w:tabs>
                <w:tab w:val="num" w:pos="360"/>
              </w:tabs>
              <w:spacing w:after="0" w:line="240" w:lineRule="auto"/>
              <w:ind w:left="360" w:hanging="360"/>
              <w:rPr>
                <w:rFonts w:ascii="Trebuchet MS" w:eastAsia="Times New Roman" w:hAnsi="Trebuchet MS" w:cs="Times New Roman"/>
                <w:color w:val="000000"/>
                <w:sz w:val="24"/>
                <w:szCs w:val="24"/>
              </w:rPr>
            </w:pPr>
            <w:r w:rsidRPr="00FC756B">
              <w:rPr>
                <w:rFonts w:ascii="Trebuchet MS" w:eastAsia="Times New Roman" w:hAnsi="Trebuchet MS" w:cs="Times New Roman"/>
                <w:color w:val="000000"/>
                <w:sz w:val="24"/>
                <w:szCs w:val="24"/>
              </w:rPr>
              <w:t> </w:t>
            </w:r>
          </w:p>
          <w:tbl>
            <w:tblPr>
              <w:tblW w:w="7488" w:type="dxa"/>
              <w:jc w:val="center"/>
              <w:tblBorders>
                <w:top w:val="single" w:sz="4" w:space="0" w:color="auto"/>
                <w:left w:val="single" w:sz="4" w:space="0" w:color="auto"/>
                <w:bottom w:val="single" w:sz="4" w:space="0" w:color="auto"/>
                <w:right w:val="single" w:sz="4" w:space="0" w:color="auto"/>
              </w:tblBorders>
              <w:shd w:val="clear" w:color="auto" w:fill="FFFFFF"/>
              <w:tblLook w:val="04A0"/>
            </w:tblPr>
            <w:tblGrid>
              <w:gridCol w:w="860"/>
              <w:gridCol w:w="265"/>
              <w:gridCol w:w="1124"/>
              <w:gridCol w:w="265"/>
              <w:gridCol w:w="4974"/>
            </w:tblGrid>
            <w:tr w:rsidR="00FC756B" w:rsidRPr="00FC756B">
              <w:trPr>
                <w:jc w:val="center"/>
              </w:trPr>
              <w:tc>
                <w:tcPr>
                  <w:tcW w:w="7488" w:type="dxa"/>
                  <w:gridSpan w:val="5"/>
                  <w:tcBorders>
                    <w:top w:val="single" w:sz="4" w:space="0" w:color="auto"/>
                    <w:left w:val="single" w:sz="4" w:space="0" w:color="auto"/>
                    <w:bottom w:val="nil"/>
                    <w:right w:val="single" w:sz="4" w:space="0" w:color="auto"/>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b/>
                      <w:bCs/>
                      <w:i/>
                      <w:iCs/>
                      <w:color w:val="000000"/>
                      <w:sz w:val="20"/>
                      <w:szCs w:val="20"/>
                    </w:rPr>
                    <w:t> Directions:</w:t>
                  </w:r>
                  <w:r w:rsidRPr="00FC756B">
                    <w:rPr>
                      <w:rFonts w:ascii="Georgia" w:eastAsia="Times New Roman" w:hAnsi="Georgia" w:cs="Times New Roman"/>
                      <w:color w:val="000000"/>
                      <w:sz w:val="20"/>
                      <w:szCs w:val="20"/>
                    </w:rPr>
                    <w:t xml:space="preserve"> Read each statement. If you believe that a statement is true, place a check in the </w:t>
                  </w:r>
                  <w:r w:rsidRPr="00FC756B">
                    <w:rPr>
                      <w:rFonts w:ascii="Georgia" w:eastAsia="Times New Roman" w:hAnsi="Georgia" w:cs="Times New Roman"/>
                      <w:i/>
                      <w:color w:val="000000"/>
                      <w:sz w:val="20"/>
                      <w:szCs w:val="20"/>
                    </w:rPr>
                    <w:t>Agree</w:t>
                  </w:r>
                  <w:r w:rsidRPr="00FC756B">
                    <w:rPr>
                      <w:rFonts w:ascii="Georgia" w:eastAsia="Times New Roman" w:hAnsi="Georgia" w:cs="Times New Roman"/>
                      <w:iCs/>
                      <w:color w:val="000000"/>
                      <w:sz w:val="20"/>
                      <w:szCs w:val="20"/>
                    </w:rPr>
                    <w:t xml:space="preserve"> column. If you believe the statement is false, place a check in the </w:t>
                  </w:r>
                  <w:r w:rsidRPr="00FC756B">
                    <w:rPr>
                      <w:rFonts w:ascii="Georgia" w:eastAsia="Times New Roman" w:hAnsi="Georgia" w:cs="Times New Roman"/>
                      <w:i/>
                      <w:iCs/>
                      <w:color w:val="000000"/>
                      <w:sz w:val="20"/>
                      <w:szCs w:val="20"/>
                    </w:rPr>
                    <w:t>Disagree</w:t>
                  </w:r>
                  <w:r w:rsidRPr="00FC756B">
                    <w:rPr>
                      <w:rFonts w:ascii="Georgia" w:eastAsia="Times New Roman" w:hAnsi="Georgia" w:cs="Times New Roman"/>
                      <w:color w:val="000000"/>
                      <w:sz w:val="20"/>
                      <w:szCs w:val="20"/>
                    </w:rPr>
                    <w:t xml:space="preserve"> column. Be ready to explain your choices. </w:t>
                  </w:r>
                </w:p>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r>
            <w:bookmarkEnd w:id="2"/>
            <w:tr w:rsidR="00FC756B" w:rsidRPr="00FC756B">
              <w:trPr>
                <w:jc w:val="center"/>
              </w:trPr>
              <w:tc>
                <w:tcPr>
                  <w:tcW w:w="816" w:type="dxa"/>
                  <w:tcBorders>
                    <w:top w:val="nil"/>
                    <w:left w:val="single" w:sz="4" w:space="0" w:color="auto"/>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b/>
                      <w:bCs/>
                      <w:color w:val="000000"/>
                      <w:sz w:val="20"/>
                      <w:szCs w:val="20"/>
                    </w:rPr>
                    <w:t xml:space="preserve">Agree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w:t>
                  </w:r>
                  <w:r w:rsidRPr="00FC756B">
                    <w:rPr>
                      <w:rFonts w:ascii="Georgia" w:eastAsia="Times New Roman" w:hAnsi="Georgia" w:cs="Times New Roman"/>
                      <w:b/>
                      <w:bCs/>
                      <w:color w:val="000000"/>
                      <w:sz w:val="20"/>
                      <w:szCs w:val="20"/>
                    </w:rPr>
                    <w:t xml:space="preserve"> </w:t>
                  </w:r>
                </w:p>
              </w:tc>
              <w:tc>
                <w:tcPr>
                  <w:tcW w:w="1069"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b/>
                      <w:bCs/>
                      <w:color w:val="000000"/>
                      <w:sz w:val="20"/>
                      <w:szCs w:val="20"/>
                    </w:rPr>
                    <w:t xml:space="preserve">Disagree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5131" w:type="dxa"/>
                  <w:tcBorders>
                    <w:top w:val="nil"/>
                    <w:left w:val="nil"/>
                    <w:bottom w:val="nil"/>
                    <w:right w:val="single" w:sz="4" w:space="0" w:color="auto"/>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r>
            <w:tr w:rsidR="00FC756B" w:rsidRPr="00FC756B">
              <w:trPr>
                <w:jc w:val="center"/>
              </w:trPr>
              <w:tc>
                <w:tcPr>
                  <w:tcW w:w="816" w:type="dxa"/>
                  <w:tcBorders>
                    <w:top w:val="nil"/>
                    <w:left w:val="single" w:sz="4" w:space="0" w:color="auto"/>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_____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1069"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_____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5131" w:type="dxa"/>
                  <w:tcBorders>
                    <w:top w:val="nil"/>
                    <w:left w:val="nil"/>
                    <w:bottom w:val="nil"/>
                    <w:right w:val="single" w:sz="4" w:space="0" w:color="auto"/>
                  </w:tcBorders>
                  <w:shd w:val="clear" w:color="auto" w:fill="FFFFFF"/>
                  <w:hideMark/>
                </w:tcPr>
                <w:p w:rsidR="00FC756B" w:rsidRPr="00FC756B" w:rsidRDefault="00FC756B" w:rsidP="00FC756B">
                  <w:pPr>
                    <w:tabs>
                      <w:tab w:val="num" w:pos="360"/>
                    </w:tabs>
                    <w:spacing w:before="100" w:beforeAutospacing="1" w:after="100" w:afterAutospacing="1" w:line="240" w:lineRule="auto"/>
                    <w:ind w:left="360" w:hanging="360"/>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1.   The average worker in the United States spends more than 2 hours a day using computers in the workplace. </w:t>
                  </w:r>
                </w:p>
              </w:tc>
            </w:tr>
            <w:tr w:rsidR="00FC756B" w:rsidRPr="00FC756B">
              <w:trPr>
                <w:jc w:val="center"/>
              </w:trPr>
              <w:tc>
                <w:tcPr>
                  <w:tcW w:w="816" w:type="dxa"/>
                  <w:tcBorders>
                    <w:top w:val="nil"/>
                    <w:left w:val="single" w:sz="4" w:space="0" w:color="auto"/>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1069"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5131" w:type="dxa"/>
                  <w:tcBorders>
                    <w:top w:val="nil"/>
                    <w:left w:val="nil"/>
                    <w:bottom w:val="nil"/>
                    <w:right w:val="single" w:sz="4" w:space="0" w:color="auto"/>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r>
            <w:tr w:rsidR="00FC756B" w:rsidRPr="00FC756B">
              <w:trPr>
                <w:jc w:val="center"/>
              </w:trPr>
              <w:tc>
                <w:tcPr>
                  <w:tcW w:w="816" w:type="dxa"/>
                  <w:tcBorders>
                    <w:top w:val="nil"/>
                    <w:left w:val="single" w:sz="4" w:space="0" w:color="auto"/>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_____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1069"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_____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5131" w:type="dxa"/>
                  <w:tcBorders>
                    <w:top w:val="nil"/>
                    <w:left w:val="nil"/>
                    <w:bottom w:val="nil"/>
                    <w:right w:val="single" w:sz="4" w:space="0" w:color="auto"/>
                  </w:tcBorders>
                  <w:shd w:val="clear" w:color="auto" w:fill="FFFFFF"/>
                  <w:hideMark/>
                </w:tcPr>
                <w:p w:rsidR="00FC756B" w:rsidRPr="00FC756B" w:rsidRDefault="00FC756B" w:rsidP="00FC756B">
                  <w:pPr>
                    <w:tabs>
                      <w:tab w:val="num" w:pos="360"/>
                    </w:tabs>
                    <w:spacing w:before="100" w:beforeAutospacing="1" w:after="100" w:afterAutospacing="1" w:line="240" w:lineRule="auto"/>
                    <w:ind w:left="360" w:hanging="360"/>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2.   It is OK for companies to monitor its employees’ use of the Internet. </w:t>
                  </w:r>
                </w:p>
              </w:tc>
            </w:tr>
            <w:tr w:rsidR="00FC756B" w:rsidRPr="00FC756B">
              <w:trPr>
                <w:jc w:val="center"/>
              </w:trPr>
              <w:tc>
                <w:tcPr>
                  <w:tcW w:w="816" w:type="dxa"/>
                  <w:tcBorders>
                    <w:top w:val="nil"/>
                    <w:left w:val="single" w:sz="4" w:space="0" w:color="auto"/>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1069"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5131" w:type="dxa"/>
                  <w:tcBorders>
                    <w:top w:val="nil"/>
                    <w:left w:val="nil"/>
                    <w:bottom w:val="nil"/>
                    <w:right w:val="single" w:sz="4" w:space="0" w:color="auto"/>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r>
            <w:tr w:rsidR="00FC756B" w:rsidRPr="00FC756B">
              <w:trPr>
                <w:jc w:val="center"/>
              </w:trPr>
              <w:tc>
                <w:tcPr>
                  <w:tcW w:w="816" w:type="dxa"/>
                  <w:tcBorders>
                    <w:top w:val="nil"/>
                    <w:left w:val="single" w:sz="4" w:space="0" w:color="auto"/>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_____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1069"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_____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5131" w:type="dxa"/>
                  <w:tcBorders>
                    <w:top w:val="nil"/>
                    <w:left w:val="nil"/>
                    <w:bottom w:val="nil"/>
                    <w:right w:val="single" w:sz="4" w:space="0" w:color="auto"/>
                  </w:tcBorders>
                  <w:shd w:val="clear" w:color="auto" w:fill="FFFFFF"/>
                  <w:hideMark/>
                </w:tcPr>
                <w:p w:rsidR="00FC756B" w:rsidRPr="00FC756B" w:rsidRDefault="00FC756B" w:rsidP="00FC756B">
                  <w:pPr>
                    <w:tabs>
                      <w:tab w:val="num" w:pos="360"/>
                    </w:tabs>
                    <w:spacing w:before="100" w:beforeAutospacing="1" w:after="100" w:afterAutospacing="1" w:line="240" w:lineRule="auto"/>
                    <w:ind w:left="360" w:hanging="360"/>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3.   Most companies do not expect their new employees to be computer literate until after the company trains them. </w:t>
                  </w:r>
                </w:p>
              </w:tc>
            </w:tr>
            <w:tr w:rsidR="00FC756B" w:rsidRPr="00FC756B">
              <w:trPr>
                <w:jc w:val="center"/>
              </w:trPr>
              <w:tc>
                <w:tcPr>
                  <w:tcW w:w="816" w:type="dxa"/>
                  <w:tcBorders>
                    <w:top w:val="nil"/>
                    <w:left w:val="single" w:sz="4" w:space="0" w:color="auto"/>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1069"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5131" w:type="dxa"/>
                  <w:tcBorders>
                    <w:top w:val="nil"/>
                    <w:left w:val="nil"/>
                    <w:bottom w:val="nil"/>
                    <w:right w:val="single" w:sz="4" w:space="0" w:color="auto"/>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r>
            <w:tr w:rsidR="00FC756B" w:rsidRPr="00FC756B">
              <w:trPr>
                <w:jc w:val="center"/>
              </w:trPr>
              <w:tc>
                <w:tcPr>
                  <w:tcW w:w="816" w:type="dxa"/>
                  <w:tcBorders>
                    <w:top w:val="nil"/>
                    <w:left w:val="single" w:sz="4" w:space="0" w:color="auto"/>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_____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1069"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_____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5131" w:type="dxa"/>
                  <w:tcBorders>
                    <w:top w:val="nil"/>
                    <w:left w:val="nil"/>
                    <w:bottom w:val="nil"/>
                    <w:right w:val="single" w:sz="4" w:space="0" w:color="auto"/>
                  </w:tcBorders>
                  <w:shd w:val="clear" w:color="auto" w:fill="FFFFFF"/>
                  <w:hideMark/>
                </w:tcPr>
                <w:p w:rsidR="00FC756B" w:rsidRPr="00FC756B" w:rsidRDefault="00FC756B" w:rsidP="00FC756B">
                  <w:pPr>
                    <w:tabs>
                      <w:tab w:val="num" w:pos="360"/>
                    </w:tabs>
                    <w:spacing w:before="100" w:beforeAutospacing="1" w:after="100" w:afterAutospacing="1" w:line="240" w:lineRule="auto"/>
                    <w:ind w:left="360" w:hanging="360"/>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4.   As a result of computers, more employers are allowing employees to work from home. </w:t>
                  </w:r>
                </w:p>
              </w:tc>
            </w:tr>
            <w:tr w:rsidR="00FC756B" w:rsidRPr="00FC756B">
              <w:trPr>
                <w:jc w:val="center"/>
              </w:trPr>
              <w:tc>
                <w:tcPr>
                  <w:tcW w:w="816" w:type="dxa"/>
                  <w:tcBorders>
                    <w:top w:val="nil"/>
                    <w:left w:val="single" w:sz="4" w:space="0" w:color="auto"/>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1069"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236" w:type="dxa"/>
                  <w:tcBorders>
                    <w:top w:val="nil"/>
                    <w:left w:val="nil"/>
                    <w:bottom w:val="nil"/>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5131" w:type="dxa"/>
                  <w:tcBorders>
                    <w:top w:val="nil"/>
                    <w:left w:val="nil"/>
                    <w:bottom w:val="nil"/>
                    <w:right w:val="single" w:sz="4" w:space="0" w:color="auto"/>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r>
            <w:tr w:rsidR="00FC756B" w:rsidRPr="00FC756B">
              <w:trPr>
                <w:jc w:val="center"/>
              </w:trPr>
              <w:tc>
                <w:tcPr>
                  <w:tcW w:w="816" w:type="dxa"/>
                  <w:tcBorders>
                    <w:top w:val="nil"/>
                    <w:left w:val="single" w:sz="4" w:space="0" w:color="auto"/>
                    <w:bottom w:val="single" w:sz="4" w:space="0" w:color="auto"/>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_____ </w:t>
                  </w:r>
                </w:p>
              </w:tc>
              <w:tc>
                <w:tcPr>
                  <w:tcW w:w="236" w:type="dxa"/>
                  <w:tcBorders>
                    <w:top w:val="nil"/>
                    <w:left w:val="nil"/>
                    <w:bottom w:val="single" w:sz="4" w:space="0" w:color="auto"/>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1069" w:type="dxa"/>
                  <w:tcBorders>
                    <w:top w:val="nil"/>
                    <w:left w:val="nil"/>
                    <w:bottom w:val="single" w:sz="4" w:space="0" w:color="auto"/>
                    <w:right w:val="nil"/>
                  </w:tcBorders>
                  <w:shd w:val="clear" w:color="auto" w:fill="FFFFFF"/>
                  <w:hideMark/>
                </w:tcPr>
                <w:p w:rsidR="00FC756B" w:rsidRPr="00FC756B" w:rsidRDefault="00FC756B" w:rsidP="00FC756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_____ </w:t>
                  </w:r>
                </w:p>
              </w:tc>
              <w:tc>
                <w:tcPr>
                  <w:tcW w:w="236" w:type="dxa"/>
                  <w:tcBorders>
                    <w:top w:val="nil"/>
                    <w:left w:val="nil"/>
                    <w:bottom w:val="single" w:sz="4" w:space="0" w:color="auto"/>
                    <w:right w:val="nil"/>
                  </w:tcBorders>
                  <w:shd w:val="clear" w:color="auto" w:fill="FFFFFF"/>
                  <w:hideMark/>
                </w:tcPr>
                <w:p w:rsidR="00FC756B" w:rsidRPr="00FC756B" w:rsidRDefault="00FC756B" w:rsidP="00FC756B">
                  <w:pPr>
                    <w:spacing w:before="100" w:beforeAutospacing="1" w:after="100" w:afterAutospacing="1" w:line="240" w:lineRule="auto"/>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  </w:t>
                  </w:r>
                </w:p>
              </w:tc>
              <w:tc>
                <w:tcPr>
                  <w:tcW w:w="5131" w:type="dxa"/>
                  <w:tcBorders>
                    <w:top w:val="nil"/>
                    <w:left w:val="nil"/>
                    <w:bottom w:val="single" w:sz="4" w:space="0" w:color="auto"/>
                    <w:right w:val="single" w:sz="4" w:space="0" w:color="auto"/>
                  </w:tcBorders>
                  <w:shd w:val="clear" w:color="auto" w:fill="FFFFFF"/>
                  <w:hideMark/>
                </w:tcPr>
                <w:p w:rsidR="00FC756B" w:rsidRPr="00FC756B" w:rsidRDefault="00FC756B" w:rsidP="00FC756B">
                  <w:pPr>
                    <w:tabs>
                      <w:tab w:val="num" w:pos="360"/>
                    </w:tabs>
                    <w:spacing w:before="100" w:beforeAutospacing="1" w:after="100" w:afterAutospacing="1" w:line="240" w:lineRule="auto"/>
                    <w:ind w:left="360" w:hanging="360"/>
                    <w:rPr>
                      <w:rFonts w:ascii="Times New Roman" w:eastAsia="Times New Roman" w:hAnsi="Times New Roman" w:cs="Times New Roman"/>
                      <w:color w:val="000000"/>
                      <w:sz w:val="24"/>
                      <w:szCs w:val="24"/>
                    </w:rPr>
                  </w:pPr>
                  <w:r w:rsidRPr="00FC756B">
                    <w:rPr>
                      <w:rFonts w:ascii="Georgia" w:eastAsia="Times New Roman" w:hAnsi="Georgia" w:cs="Times New Roman"/>
                      <w:color w:val="000000"/>
                      <w:sz w:val="20"/>
                      <w:szCs w:val="20"/>
                    </w:rPr>
                    <w:t xml:space="preserve">5.   Health problems that some employees experience as a result of working at a computer all day should not be a concern of the employer. </w:t>
                  </w:r>
                </w:p>
              </w:tc>
            </w:tr>
          </w:tbl>
          <w:p w:rsidR="00FC756B" w:rsidRPr="00FC756B" w:rsidRDefault="00FC756B" w:rsidP="00FC756B">
            <w:pPr>
              <w:tabs>
                <w:tab w:val="num" w:pos="360"/>
              </w:tabs>
              <w:spacing w:after="0" w:line="240" w:lineRule="auto"/>
              <w:ind w:left="360" w:hanging="360"/>
              <w:rPr>
                <w:rFonts w:ascii="Trebuchet MS" w:eastAsia="Times New Roman" w:hAnsi="Trebuchet MS" w:cs="Times New Roman"/>
                <w:color w:val="000000"/>
                <w:sz w:val="24"/>
                <w:szCs w:val="24"/>
              </w:rPr>
            </w:pPr>
            <w:r w:rsidRPr="00FC756B">
              <w:rPr>
                <w:rFonts w:ascii="Trebuchet MS" w:eastAsia="Times New Roman" w:hAnsi="Trebuchet MS" w:cs="Times New Roman"/>
                <w:color w:val="000000"/>
                <w:sz w:val="24"/>
                <w:szCs w:val="24"/>
              </w:rPr>
              <w:t> </w:t>
            </w:r>
          </w:p>
          <w:p w:rsidR="00FC756B" w:rsidRPr="00FC756B" w:rsidRDefault="00FC756B" w:rsidP="00FC756B">
            <w:pPr>
              <w:spacing w:after="0" w:line="240" w:lineRule="auto"/>
              <w:rPr>
                <w:rFonts w:ascii="Times New Roman" w:eastAsia="Times New Roman" w:hAnsi="Times New Roman" w:cs="Times New Roman"/>
                <w:color w:val="000000"/>
                <w:sz w:val="24"/>
                <w:szCs w:val="24"/>
              </w:rPr>
            </w:pPr>
            <w:r w:rsidRPr="00FC756B">
              <w:rPr>
                <w:rFonts w:ascii="Trebuchet MS" w:eastAsia="Times New Roman" w:hAnsi="Trebuchet MS" w:cs="Times New Roman"/>
                <w:color w:val="000000"/>
                <w:sz w:val="24"/>
                <w:szCs w:val="24"/>
              </w:rPr>
              <w:t> </w:t>
            </w:r>
          </w:p>
        </w:tc>
      </w:tr>
    </w:tbl>
    <w:p w:rsidR="00FC756B" w:rsidRPr="00FC756B" w:rsidRDefault="00FC756B" w:rsidP="00FC756B">
      <w:pPr>
        <w:spacing w:before="100" w:beforeAutospacing="1" w:after="100" w:afterAutospacing="1" w:line="240" w:lineRule="auto"/>
        <w:jc w:val="center"/>
        <w:rPr>
          <w:rFonts w:ascii="Graphite Light ATT" w:eastAsia="Times New Roman" w:hAnsi="Graphite Light ATT" w:cs="Times New Roman"/>
          <w:color w:val="000080"/>
          <w:sz w:val="48"/>
          <w:szCs w:val="48"/>
        </w:rPr>
      </w:pPr>
      <w:r>
        <w:rPr>
          <w:rFonts w:ascii="Graphite Light ATT" w:eastAsia="Times New Roman" w:hAnsi="Graphite Light ATT" w:cs="Times New Roman"/>
          <w:noProof/>
          <w:color w:val="000080"/>
          <w:sz w:val="48"/>
          <w:szCs w:val="48"/>
        </w:rPr>
        <w:lastRenderedPageBreak/>
        <w:drawing>
          <wp:inline distT="0" distB="0" distL="0" distR="0">
            <wp:extent cx="5716905" cy="95250"/>
            <wp:effectExtent l="19050" t="0" r="0" b="0"/>
            <wp:docPr id="17" name="Picture 17" descr="http://www.indiana.edu/~l517/blesep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indiana.edu/~l517/blesepa.gif"/>
                    <pic:cNvPicPr>
                      <a:picLocks noChangeAspect="1" noChangeArrowheads="1"/>
                    </pic:cNvPicPr>
                  </pic:nvPicPr>
                  <pic:blipFill>
                    <a:blip r:embed="rId6"/>
                    <a:srcRect/>
                    <a:stretch>
                      <a:fillRect/>
                    </a:stretch>
                  </pic:blipFill>
                  <pic:spPr bwMode="auto">
                    <a:xfrm>
                      <a:off x="0" y="0"/>
                      <a:ext cx="5716905" cy="95250"/>
                    </a:xfrm>
                    <a:prstGeom prst="rect">
                      <a:avLst/>
                    </a:prstGeom>
                    <a:noFill/>
                    <a:ln w="9525">
                      <a:noFill/>
                      <a:miter lim="800000"/>
                      <a:headEnd/>
                      <a:tailEnd/>
                    </a:ln>
                  </pic:spPr>
                </pic:pic>
              </a:graphicData>
            </a:graphic>
          </wp:inline>
        </w:drawing>
      </w:r>
    </w:p>
    <w:p w:rsidR="00FC756B" w:rsidRPr="00FC756B" w:rsidRDefault="00FC756B" w:rsidP="00FC756B">
      <w:pPr>
        <w:spacing w:before="100" w:beforeAutospacing="1" w:after="100" w:afterAutospacing="1" w:line="240" w:lineRule="auto"/>
        <w:jc w:val="center"/>
        <w:rPr>
          <w:rFonts w:ascii="Trebuchet MS" w:eastAsia="Times New Roman" w:hAnsi="Trebuchet MS" w:cs="Times New Roman"/>
          <w:color w:val="000000"/>
          <w:sz w:val="24"/>
          <w:szCs w:val="24"/>
        </w:rPr>
      </w:pPr>
      <w:r w:rsidRPr="00FC756B">
        <w:rPr>
          <w:rFonts w:ascii="Georgia" w:eastAsia="Times New Roman" w:hAnsi="Georgia" w:cs="Times New Roman"/>
          <w:color w:val="000000"/>
          <w:sz w:val="20"/>
          <w:szCs w:val="20"/>
        </w:rPr>
        <w:t>Last updated:, by Jennifer Conner</w:t>
      </w:r>
      <w:r w:rsidRPr="00FC756B">
        <w:rPr>
          <w:rFonts w:ascii="Georgia" w:eastAsia="Times New Roman" w:hAnsi="Georgia" w:cs="Times New Roman"/>
          <w:color w:val="000000"/>
          <w:sz w:val="20"/>
          <w:szCs w:val="20"/>
        </w:rPr>
        <w:br/>
        <w:t>URL: http://www.indiana.edu/~l517/anticipation_guides.htm</w:t>
      </w:r>
      <w:r w:rsidRPr="00FC756B">
        <w:rPr>
          <w:rFonts w:ascii="Georgia" w:eastAsia="Times New Roman" w:hAnsi="Georgia" w:cs="Times New Roman"/>
          <w:color w:val="000000"/>
          <w:sz w:val="20"/>
          <w:szCs w:val="20"/>
        </w:rPr>
        <w:br/>
        <w:t xml:space="preserve">Comments: </w:t>
      </w:r>
      <w:hyperlink r:id="rId8" w:history="1">
        <w:r w:rsidRPr="00FC756B">
          <w:rPr>
            <w:rFonts w:ascii="Georgia" w:eastAsia="Times New Roman" w:hAnsi="Georgia" w:cs="Times New Roman"/>
            <w:color w:val="993300"/>
            <w:sz w:val="20"/>
            <w:u w:val="single"/>
          </w:rPr>
          <w:t>jmconner@indiana.edu</w:t>
        </w:r>
      </w:hyperlink>
      <w:r w:rsidRPr="00FC756B">
        <w:rPr>
          <w:rFonts w:ascii="Georgia" w:eastAsia="Times New Roman" w:hAnsi="Georgia" w:cs="Times New Roman"/>
          <w:color w:val="000000"/>
          <w:sz w:val="20"/>
          <w:szCs w:val="20"/>
        </w:rPr>
        <w:br/>
        <w:t>Copyright 2006, Jennifer Conner</w:t>
      </w:r>
    </w:p>
    <w:p w:rsidR="00133A1C" w:rsidRDefault="00D25A58"/>
    <w:sectPr w:rsidR="00133A1C" w:rsidSect="00FC756B">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A58" w:rsidRDefault="00D25A58" w:rsidP="00FC756B">
      <w:pPr>
        <w:spacing w:after="0" w:line="240" w:lineRule="auto"/>
      </w:pPr>
      <w:r>
        <w:separator/>
      </w:r>
    </w:p>
  </w:endnote>
  <w:endnote w:type="continuationSeparator" w:id="1">
    <w:p w:rsidR="00D25A58" w:rsidRDefault="00D25A58" w:rsidP="00FC75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Graphite Light AT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6B" w:rsidRDefault="00FC75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6B" w:rsidRDefault="00FC756B">
    <w:pPr>
      <w:pStyle w:val="Footer"/>
    </w:pPr>
    <w:r w:rsidRPr="00FC756B">
      <w:t>http://www.indiana.edu/~l517/anticipation_guides.htm</w:t>
    </w:r>
  </w:p>
  <w:p w:rsidR="00FC756B" w:rsidRDefault="00FC756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6B" w:rsidRDefault="00FC75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A58" w:rsidRDefault="00D25A58" w:rsidP="00FC756B">
      <w:pPr>
        <w:spacing w:after="0" w:line="240" w:lineRule="auto"/>
      </w:pPr>
      <w:r>
        <w:separator/>
      </w:r>
    </w:p>
  </w:footnote>
  <w:footnote w:type="continuationSeparator" w:id="1">
    <w:p w:rsidR="00D25A58" w:rsidRDefault="00D25A58" w:rsidP="00FC75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6B" w:rsidRDefault="00FC75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6B" w:rsidRDefault="00FC756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6B" w:rsidRDefault="00FC756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C756B"/>
    <w:rsid w:val="002631D3"/>
    <w:rsid w:val="005A01D9"/>
    <w:rsid w:val="00B51A44"/>
    <w:rsid w:val="00D25A58"/>
    <w:rsid w:val="00FC75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1D3"/>
  </w:style>
  <w:style w:type="paragraph" w:styleId="Heading6">
    <w:name w:val="heading 6"/>
    <w:basedOn w:val="Normal"/>
    <w:link w:val="Heading6Char"/>
    <w:uiPriority w:val="9"/>
    <w:qFormat/>
    <w:rsid w:val="00FC756B"/>
    <w:pPr>
      <w:spacing w:before="100" w:beforeAutospacing="1" w:after="100" w:afterAutospacing="1" w:line="240" w:lineRule="auto"/>
      <w:outlineLvl w:val="5"/>
    </w:pPr>
    <w:rPr>
      <w:rFonts w:ascii="Times New Roman" w:eastAsia="Times New Roman" w:hAnsi="Times New Roman" w:cs="Times New Roman"/>
      <w:b/>
      <w:bCs/>
      <w:color w:val="000000"/>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FC756B"/>
    <w:rPr>
      <w:rFonts w:ascii="Times New Roman" w:eastAsia="Times New Roman" w:hAnsi="Times New Roman" w:cs="Times New Roman"/>
      <w:b/>
      <w:bCs/>
      <w:color w:val="000000"/>
      <w:sz w:val="15"/>
      <w:szCs w:val="15"/>
    </w:rPr>
  </w:style>
  <w:style w:type="character" w:styleId="Hyperlink">
    <w:name w:val="Hyperlink"/>
    <w:basedOn w:val="DefaultParagraphFont"/>
    <w:uiPriority w:val="99"/>
    <w:semiHidden/>
    <w:unhideWhenUsed/>
    <w:rsid w:val="00FC756B"/>
    <w:rPr>
      <w:color w:val="993300"/>
      <w:u w:val="single"/>
    </w:rPr>
  </w:style>
  <w:style w:type="paragraph" w:styleId="NormalWeb">
    <w:name w:val="Normal (Web)"/>
    <w:basedOn w:val="Normal"/>
    <w:uiPriority w:val="99"/>
    <w:unhideWhenUsed/>
    <w:rsid w:val="00FC756B"/>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Subtitle">
    <w:name w:val="Subtitle"/>
    <w:basedOn w:val="Normal"/>
    <w:link w:val="SubtitleChar"/>
    <w:uiPriority w:val="11"/>
    <w:qFormat/>
    <w:rsid w:val="00FC756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SubtitleChar">
    <w:name w:val="Subtitle Char"/>
    <w:basedOn w:val="DefaultParagraphFont"/>
    <w:link w:val="Subtitle"/>
    <w:uiPriority w:val="11"/>
    <w:rsid w:val="00FC756B"/>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FC75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756B"/>
    <w:rPr>
      <w:rFonts w:ascii="Tahoma" w:hAnsi="Tahoma" w:cs="Tahoma"/>
      <w:sz w:val="16"/>
      <w:szCs w:val="16"/>
    </w:rPr>
  </w:style>
  <w:style w:type="paragraph" w:styleId="Header">
    <w:name w:val="header"/>
    <w:basedOn w:val="Normal"/>
    <w:link w:val="HeaderChar"/>
    <w:uiPriority w:val="99"/>
    <w:semiHidden/>
    <w:unhideWhenUsed/>
    <w:rsid w:val="00FC75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C756B"/>
  </w:style>
  <w:style w:type="paragraph" w:styleId="Footer">
    <w:name w:val="footer"/>
    <w:basedOn w:val="Normal"/>
    <w:link w:val="FooterChar"/>
    <w:uiPriority w:val="99"/>
    <w:unhideWhenUsed/>
    <w:rsid w:val="00FC75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56B"/>
  </w:style>
</w:styles>
</file>

<file path=word/webSettings.xml><?xml version="1.0" encoding="utf-8"?>
<w:webSettings xmlns:r="http://schemas.openxmlformats.org/officeDocument/2006/relationships" xmlns:w="http://schemas.openxmlformats.org/wordprocessingml/2006/main">
  <w:divs>
    <w:div w:id="93632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mconner@indiana.edu"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609</Words>
  <Characters>3472</Characters>
  <Application>Microsoft Office Word</Application>
  <DocSecurity>0</DocSecurity>
  <Lines>28</Lines>
  <Paragraphs>8</Paragraphs>
  <ScaleCrop>false</ScaleCrop>
  <Company/>
  <LinksUpToDate>false</LinksUpToDate>
  <CharactersWithSpaces>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2009-08-05T04:18:00Z</dcterms:created>
  <dcterms:modified xsi:type="dcterms:W3CDTF">2009-08-05T04:20:00Z</dcterms:modified>
</cp:coreProperties>
</file>